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ind w:left="720" w:firstLine="720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4098</wp:posOffset>
            </wp:positionH>
            <wp:positionV relativeFrom="paragraph">
              <wp:posOffset>0</wp:posOffset>
            </wp:positionV>
            <wp:extent cx="1630104" cy="998220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30104" cy="9982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ind w:left="1440" w:firstLine="72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AGIC Data Committee UAS WG Report</w:t>
      </w:r>
    </w:p>
    <w:p w:rsidR="00000000" w:rsidDel="00000000" w:rsidP="00000000" w:rsidRDefault="00000000" w:rsidRPr="00000000" w14:paraId="00000003">
      <w:pPr>
        <w:pageBreakBefore w:val="0"/>
        <w:ind w:left="720" w:firstLine="72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January 12, 2022</w:t>
      </w:r>
    </w:p>
    <w:p w:rsidR="00000000" w:rsidDel="00000000" w:rsidP="00000000" w:rsidRDefault="00000000" w:rsidRPr="00000000" w14:paraId="00000004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Committee/Workgroup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UAS 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Chairs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Chuck Powell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Kasey Green</w:t>
      </w:r>
    </w:p>
    <w:p w:rsidR="00000000" w:rsidDel="00000000" w:rsidP="00000000" w:rsidRDefault="00000000" w:rsidRPr="00000000" w14:paraId="0000000D">
      <w:pPr>
        <w:pageBreakBefore w:val="0"/>
        <w:rPr>
          <w:color w:val="5ba8c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Summary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UAS Workgroup has completed our 2021 Workgroup Goal of creating the UAS Landing Page on the AZGEO platform which will include the following pages: UAS Workgroup Mission, Getting Started, Guidelines and Best Practices, Use Cases, Resources, and Training.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https://agic-uas-workgroup-agic.hub.arcgis.com/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preparation for our 2022 Work Plan, the UAS workgroup intends to continue developing: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UAS </w:t>
      </w:r>
      <w:r w:rsidDel="00000000" w:rsidR="00000000" w:rsidRPr="00000000">
        <w:rPr>
          <w:sz w:val="24"/>
          <w:szCs w:val="24"/>
          <w:rtl w:val="0"/>
        </w:rPr>
        <w:t xml:space="preserve">Workgroup has a K-12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outreach goal with an initial goal to work with the SciTech Festival and/or work with Arizona public schools.   In add</w:t>
      </w:r>
      <w:r w:rsidDel="00000000" w:rsidR="00000000" w:rsidRPr="00000000">
        <w:rPr>
          <w:sz w:val="24"/>
          <w:szCs w:val="24"/>
          <w:rtl w:val="0"/>
        </w:rPr>
        <w:t xml:space="preserve">ition to developing standalone outreach efforts the UAS Workgroup is collaborating with several other parties that have established outreach efforts.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2022 Fly-In hybrid event which includes: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new location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New Topic(s)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move to a spring-time date to align with AGIC’s yearly calendar.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right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action items at this time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agic-uas-workgroup-agic.hub.arcgi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